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0c3beaedc4f3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13617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IVANA GORANA KOVAČIĆA, SVETI JURAJ NA BREGU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1.836.177,24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1.978.150,41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1.804.593,02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2.098.652,61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120.502,20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29.292,11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41.714,72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29.292,11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41.714,72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162.216,92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PR-RAS iskazan je manjak prihoda poslovanja u iznosu od 120.502,20 eura. Taj je manjak posljedica knjiženja trinaest rashoda za plaće te dvanaest prihoda za plaće u 2025. godini. Plaće se isplaćuju iz Državnog proračuna. Također, u obrascu je prikazan manjak prihoda od nefinancijske imovine u iznosu od 41.714,72 eura, a odnosi se na novu nabavljenu imovinu Škole koja se financirala sredstvima iz proteklih godina.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18.661,67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Kapitalne pomoći odnose se na sredstva utrošena za nabavu obveznih udžbenika učenika.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22,3</w:t>
            </w:r>
          </w:p>
        </w:tc>
      </w:tr>
    </w:tbl>
    <w:p>
      <w:pPr>
        <w:spacing w:before="0" w:after="0"/>
      </w:pPr>
    </w:p>
    <w:p>
      <w:r>
        <w:t xml:space="preserve">Prihodi su manji jer je tijekom 2025. godine račun Škole zatvoren i sredstva su prenesana na račun Riznice.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43.651,12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51.274,49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Sredstva na kontu 6526 odnose se na sredstva prikupljena od roditelja učenika za financiranje produženog boravka.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8.294,66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</w:t>
            </w:r>
          </w:p>
        </w:tc>
      </w:tr>
    </w:tbl>
    <w:p>
      <w:pPr>
        <w:spacing w:before="0" w:after="0"/>
      </w:pPr>
    </w:p>
    <w:p>
      <w:r>
        <w:t xml:space="preserve">Prikazani su prihodi od najma školske sportske dvorane raznim udrugama i sportskim društvima.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84.794,44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118.312,34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Prikazani su prihodi iz proračuna osnivača za financiranje rashoda poslovanja (decentralizirana sredstva, investicijsko održavanje i energenti), rad pomoćnika u nastavi i ostale uplate.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se odnose na sredstva utrošena za opremanje školskog ulaza i ugradnju sigurnosnih uređaja.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991.803,95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1.462.648,12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147,5</w:t>
            </w:r>
          </w:p>
        </w:tc>
      </w:tr>
    </w:tbl>
    <w:p>
      <w:pPr>
        <w:spacing w:before="0" w:after="0"/>
      </w:pPr>
    </w:p>
    <w:p>
      <w:r>
        <w:t xml:space="preserve">Plaće za redovan rad uključuju i troškove mirovinskog osiguranja koji su protekle godine iskazani na kontu 3131. Iz tog je razloga iznos u odnosu na proteklu godinu veći.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5.833,78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13.373,78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229,2</w:t>
            </w:r>
          </w:p>
        </w:tc>
      </w:tr>
    </w:tbl>
    <w:p>
      <w:pPr>
        <w:spacing w:before="0" w:after="0"/>
      </w:pPr>
    </w:p>
    <w:p>
      <w:r>
        <w:t xml:space="preserve">Plaće za posebne uvjete rada uključuju rad po prilagođenom programu učitelja u nastavi, smjenski rad, dvokratni rad i ostale troškove.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55.074,42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61.643,82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Ostali rashodi za zaposlene odnose se na isplatu darova, naknade za bolest, otpremnine, regresa i ostalih rashoda za zaposlene.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253.057,75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Doprinosi za mirovinsko osiguranje sadržani su u kontu 3111 Plaće za redovan rad.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152,9</w:t>
            </w:r>
          </w:p>
        </w:tc>
      </w:tr>
    </w:tbl>
    <w:p>
      <w:pPr>
        <w:spacing w:before="0" w:after="0"/>
      </w:pPr>
    </w:p>
    <w:p>
      <w:r>
        <w:t xml:space="preserve">Većinom se odnose na dnevnice za službeni put u zemlji (većim dijelom terenska nastava učenika), naknade za smještaj na službenom putu u zemlji (stručna usavršavanja) te naknade za prijevoz.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41.270,10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48.218,57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Odnosi se na naknade za prijevoz zaposlenika na posao i s posla.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16.276,49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22.728,15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</w:tbl>
    <w:p>
      <w:pPr>
        <w:spacing w:before="0" w:after="0"/>
      </w:pPr>
    </w:p>
    <w:p>
      <w:r>
        <w:t xml:space="preserve">Većim dijelom radi se o nabavi uredskog materijala, sredstava za čišćenje te materijala za higijenske potrebe i njegu.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207,0</w:t>
            </w:r>
          </w:p>
        </w:tc>
      </w:tr>
    </w:tbl>
    <w:p>
      <w:pPr>
        <w:spacing w:before="0" w:after="0"/>
      </w:pPr>
    </w:p>
    <w:p>
      <w:r>
        <w:t xml:space="preserve">Ove godine je nabavljeni sitni inventar za potrebe informatičke učionice, sitni inventar za nastavu tjelesne i zdravstvene kulture, za održavanje izvannastavnih aktivnosti te za potrebe školske kuhinje.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219,6</w:t>
            </w:r>
          </w:p>
        </w:tc>
      </w:tr>
    </w:tbl>
    <w:p>
      <w:pPr>
        <w:spacing w:before="0" w:after="0"/>
      </w:pPr>
    </w:p>
    <w:p>
      <w:r>
        <w:t xml:space="preserve">Iznos je povećani u odnosu na proteklu godinu zbog potrebnih radova u kotlovnici škole i uređenja stepenica kod bočnog ulaza u zgradu.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400,6</w:t>
            </w:r>
          </w:p>
        </w:tc>
      </w:tr>
    </w:tbl>
    <w:p>
      <w:pPr>
        <w:spacing w:before="0" w:after="0"/>
      </w:pPr>
    </w:p>
    <w:p>
      <w:r>
        <w:t xml:space="preserve">Odnose se na troškove uređenja prostorija, izradu fotografija i slično.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12.584,37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8.093,93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64,3</w:t>
            </w:r>
          </w:p>
        </w:tc>
      </w:tr>
    </w:tbl>
    <w:p>
      <w:pPr>
        <w:spacing w:before="0" w:after="0"/>
      </w:pPr>
    </w:p>
    <w:p>
      <w:r>
        <w:t xml:space="preserve">Uključuju troškove nabave radnih udžbenika za učenike škole financirane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152.668,45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Nenaplaćeni prihodi poslovanja odnose se najvećim dijelom na plaće djelatnika za prosinac 2025. godine koje se isplaćuju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473,8</w:t>
            </w:r>
          </w:p>
        </w:tc>
      </w:tr>
    </w:tbl>
    <w:p>
      <w:pPr>
        <w:spacing w:before="0" w:after="0"/>
      </w:pPr>
    </w:p>
    <w:p>
      <w:r>
        <w:t xml:space="preserve">Radi se o nenaplaćenim prihodima od najma školske sportske dvorane.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13.520,71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Uključuje nabavu uređaja i opreme za kotlovnicu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210,7</w:t>
            </w:r>
          </w:p>
        </w:tc>
      </w:tr>
    </w:tbl>
    <w:p>
      <w:pPr>
        <w:spacing w:before="0" w:after="0"/>
      </w:pPr>
    </w:p>
    <w:p>
      <w:r>
        <w:t xml:space="preserve">Nabavljena je oprema za kotlovnicu i kuhinju.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13.352,60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137,4</w:t>
            </w:r>
          </w:p>
        </w:tc>
      </w:tr>
    </w:tbl>
    <w:p>
      <w:pPr>
        <w:spacing w:before="0" w:after="0"/>
      </w:pPr>
    </w:p>
    <w:p>
      <w:r>
        <w:t xml:space="preserve">Većim dijelom su to udžbenici i lektirni naslovi nabavljeni iz sredstava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162.216,92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Prikazani je manjak prihoda u iznosu od 162.216,92 eura koji se većim dijelom odnosi na knjiženje plaće za prosinac 2025. godine u rashode poslovanja, a prihodi će biti priznati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r>
        <w:t xml:space="preserve">Bankovni račun škole bio je zatvoren tijekom 2025. godine zbog prelaska poslovanja na Riznicu, a prema važećim zakonskim odredbama.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18.661,67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Udžbenici za potrebe učenika financirani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159,8</w:t>
            </w:r>
          </w:p>
        </w:tc>
      </w:tr>
    </w:tbl>
    <w:p>
      <w:pPr>
        <w:spacing w:before="0" w:after="0"/>
      </w:pPr>
    </w:p>
    <w:p>
      <w:r>
        <w:t xml:space="preserve">Većim dijelom se radi o ugovorima sklopljenima za potrebe školske sportske dvorane koji su financirani iz vlastitih prihoda.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109.793,77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2356,7</w:t>
            </w:r>
          </w:p>
        </w:tc>
      </w:tr>
    </w:tbl>
    <w:p>
      <w:pPr>
        <w:spacing w:before="0" w:after="0"/>
      </w:pPr>
    </w:p>
    <w:p>
      <w:r>
        <w:t xml:space="preserve">Provedeno je usklađenje konta imovine s popisom s postojećim stanjem imovine i provedenoj inventuri. Nije došlo do značajnijih promjena u ukupnom iznosu imovine, već u preraspodjeli po klasama.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84.768,80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259,1</w:t>
            </w:r>
          </w:p>
        </w:tc>
      </w:tr>
    </w:tbl>
    <w:p>
      <w:pPr>
        <w:spacing w:before="0" w:after="0"/>
      </w:pPr>
    </w:p>
    <w:p>
      <w:r>
        <w:t xml:space="preserve">Provedeno je usklađenje konta imovine s popisom s postojećim stanjem imovine i provedenoj inventuri. Nije došlo do značajnijih promjena u ukupnom iznosu imovine, već u preraspodjeli po klasama.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27.619,05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116.132,23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420,5</w:t>
            </w:r>
          </w:p>
        </w:tc>
      </w:tr>
    </w:tbl>
    <w:p>
      <w:pPr>
        <w:spacing w:before="0" w:after="0"/>
      </w:pPr>
    </w:p>
    <w:p>
      <w:r>
        <w:t xml:space="preserve">Provedeno je usklađenje konta imovine s popisom s postojećim stanjem imovine i provedenoj inventuri. Nije došlo do značajnijih promjena u ukupnom iznosu imovine, već u preraspodjeli po klasama.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r>
        <w:t xml:space="preserve">Prikazana sredstva odnose na na blagajnu, dok je bankovni račun škole zatvoreni tijekom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149.995,86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Većim dijelom se odnosi na potraživanja za obračunate, a neisplaćene plaće djelatnika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473,8</w:t>
            </w:r>
          </w:p>
        </w:tc>
      </w:tr>
    </w:tbl>
    <w:p>
      <w:pPr>
        <w:spacing w:before="0" w:after="0"/>
      </w:pPr>
    </w:p>
    <w:p>
      <w:r>
        <w:t xml:space="preserve">Potraživanja za neplaćene usluge najma školske sportske dvorane.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84.084,96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-78.131,96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-92,9</w:t>
            </w:r>
          </w:p>
        </w:tc>
      </w:tr>
    </w:tbl>
    <w:p>
      <w:pPr>
        <w:spacing w:before="0" w:after="0"/>
      </w:pPr>
    </w:p>
    <w:p>
      <w:r>
        <w:t xml:space="preserve">Rezultat je manjak u iznosu od 78.131,96 eura. Protekle godine je preneseni višak u iznosu od 84.084,96 eura, kojemu je pribrojeni manjak tekuće godine u iznosu od 162.216,92 eura. Razlozi manjka su objašnjeni u obrascu PR-RAS i u ranijim bilješkama Bilance.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101.154,62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113.910,67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Dodatne usluge u obrazovanju uključuju usluge prehrane učenika (financirane iz sredstava Državnog proračuna) te usluge produženog boravka učenika (financirane iz sredstava Općine Sveti Juraj na Bregu i roditelja učenika korisnika produženog boravka).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iskazane u obrascu Obveze su nedospjele s datumom 31.12.2025. godine. Obveze dospijevaju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156.421,94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obračunatu neisplaćenu plaću za prosinac 2025. godine i obveze za neplaćene račune za prosinac 2025. godine.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baa601be024aa3" /></Relationships>
</file>