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DAB52" w14:textId="77777777" w:rsidR="006B5CCE" w:rsidRPr="00397EB5" w:rsidRDefault="006B5CCE" w:rsidP="00A83F80">
      <w:pPr>
        <w:spacing w:after="0"/>
        <w:jc w:val="center"/>
        <w:rPr>
          <w:rFonts w:cstheme="minorHAnsi"/>
          <w:b/>
        </w:rPr>
      </w:pPr>
      <w:r w:rsidRPr="00397EB5">
        <w:rPr>
          <w:rFonts w:cstheme="minorHAnsi"/>
          <w:b/>
        </w:rPr>
        <w:t xml:space="preserve">OBRAZLOŽENJE PRIJEDLOGA FINANCIJSKOG PLANA </w:t>
      </w:r>
    </w:p>
    <w:p w14:paraId="55B22C39" w14:textId="4E303CE6" w:rsidR="003B6516" w:rsidRPr="00397EB5" w:rsidRDefault="00A445E2" w:rsidP="00A83F80">
      <w:pPr>
        <w:spacing w:after="0"/>
        <w:jc w:val="center"/>
        <w:rPr>
          <w:rFonts w:cstheme="minorHAnsi"/>
          <w:b/>
        </w:rPr>
      </w:pPr>
      <w:r w:rsidRPr="00397EB5">
        <w:rPr>
          <w:rFonts w:cstheme="minorHAnsi"/>
          <w:b/>
        </w:rPr>
        <w:t>ZA RAZDOBLJE 202</w:t>
      </w:r>
      <w:r w:rsidR="00F50658" w:rsidRPr="00397EB5">
        <w:rPr>
          <w:rFonts w:cstheme="minorHAnsi"/>
          <w:b/>
        </w:rPr>
        <w:t>4</w:t>
      </w:r>
      <w:r w:rsidR="002E29D2">
        <w:rPr>
          <w:rFonts w:cstheme="minorHAnsi"/>
          <w:b/>
        </w:rPr>
        <w:t xml:space="preserve">. - </w:t>
      </w:r>
      <w:r w:rsidR="006B5CCE" w:rsidRPr="00397EB5">
        <w:rPr>
          <w:rFonts w:cstheme="minorHAnsi"/>
          <w:b/>
        </w:rPr>
        <w:t>20</w:t>
      </w:r>
      <w:r w:rsidRPr="00397EB5">
        <w:rPr>
          <w:rFonts w:cstheme="minorHAnsi"/>
          <w:b/>
        </w:rPr>
        <w:t>2</w:t>
      </w:r>
      <w:r w:rsidR="00F50658" w:rsidRPr="00397EB5">
        <w:rPr>
          <w:rFonts w:cstheme="minorHAnsi"/>
          <w:b/>
        </w:rPr>
        <w:t>6</w:t>
      </w:r>
      <w:r w:rsidR="006B5CCE" w:rsidRPr="00397EB5">
        <w:rPr>
          <w:rFonts w:cstheme="minorHAnsi"/>
          <w:b/>
        </w:rPr>
        <w:t>.</w:t>
      </w:r>
    </w:p>
    <w:p w14:paraId="2F5772D5" w14:textId="77777777" w:rsidR="00A83F80" w:rsidRPr="00397EB5" w:rsidRDefault="00A83F80" w:rsidP="007F6BE2">
      <w:pPr>
        <w:spacing w:after="0"/>
        <w:rPr>
          <w:rFonts w:cstheme="minorHAnsi"/>
          <w:b/>
        </w:rPr>
      </w:pPr>
    </w:p>
    <w:p w14:paraId="48DD23FA" w14:textId="1BF06E11" w:rsidR="006B5CCE" w:rsidRPr="00397EB5" w:rsidRDefault="00785007" w:rsidP="006B5CCE">
      <w:pPr>
        <w:autoSpaceDE w:val="0"/>
        <w:autoSpaceDN w:val="0"/>
        <w:adjustRightInd w:val="0"/>
        <w:jc w:val="center"/>
        <w:rPr>
          <w:rFonts w:cstheme="minorHAnsi"/>
          <w:b/>
          <w:bCs/>
          <w:u w:val="single"/>
        </w:rPr>
      </w:pPr>
      <w:r w:rsidRPr="00397EB5">
        <w:rPr>
          <w:rFonts w:cstheme="minorHAnsi"/>
          <w:b/>
          <w:bCs/>
          <w:u w:val="single"/>
        </w:rPr>
        <w:t>OSNOVNA ŠKOLA IVANA GORANA KOVAČIĆA SVETI JURAJ NA BREGU</w:t>
      </w:r>
    </w:p>
    <w:p w14:paraId="66BA1C6A" w14:textId="77777777" w:rsidR="00A83F80" w:rsidRPr="00397EB5" w:rsidRDefault="00A83F80" w:rsidP="003E2D5C">
      <w:pPr>
        <w:spacing w:after="0"/>
        <w:rPr>
          <w:rFonts w:cstheme="minorHAnsi"/>
          <w:b/>
        </w:rPr>
      </w:pPr>
    </w:p>
    <w:p w14:paraId="318B2045" w14:textId="45F235AE" w:rsidR="00625B4E" w:rsidRPr="00397EB5" w:rsidRDefault="00625B4E" w:rsidP="00625B4E">
      <w:pPr>
        <w:ind w:firstLine="708"/>
        <w:jc w:val="both"/>
        <w:rPr>
          <w:rFonts w:cstheme="minorHAnsi"/>
        </w:rPr>
      </w:pPr>
      <w:r w:rsidRPr="00397EB5">
        <w:rPr>
          <w:rFonts w:cstheme="minorHAnsi"/>
        </w:rPr>
        <w:t>Osnovnu školu Ivana Gorana Kovačića Sveti Ju</w:t>
      </w:r>
      <w:r w:rsidR="00C21BB3">
        <w:rPr>
          <w:rFonts w:cstheme="minorHAnsi"/>
        </w:rPr>
        <w:t xml:space="preserve">raj na </w:t>
      </w:r>
      <w:proofErr w:type="spellStart"/>
      <w:r w:rsidR="00C21BB3">
        <w:rPr>
          <w:rFonts w:cstheme="minorHAnsi"/>
        </w:rPr>
        <w:t>Bregu</w:t>
      </w:r>
      <w:proofErr w:type="spellEnd"/>
      <w:r w:rsidR="00C21BB3">
        <w:rPr>
          <w:rFonts w:cstheme="minorHAnsi"/>
        </w:rPr>
        <w:t xml:space="preserve"> trenutno pohađa 415</w:t>
      </w:r>
      <w:r w:rsidR="00F50658" w:rsidRPr="00397EB5">
        <w:rPr>
          <w:rFonts w:cstheme="minorHAnsi"/>
        </w:rPr>
        <w:t xml:space="preserve"> učenika</w:t>
      </w:r>
      <w:r w:rsidRPr="00397EB5">
        <w:rPr>
          <w:rFonts w:cstheme="minorHAnsi"/>
        </w:rPr>
        <w:t>. Škola ima 60 zaposlenih djelatnika čije se plaće fina</w:t>
      </w:r>
      <w:r w:rsidR="00F50658" w:rsidRPr="00397EB5">
        <w:rPr>
          <w:rFonts w:cstheme="minorHAnsi"/>
        </w:rPr>
        <w:t>nciraju iz državnog proračuna, 1 osobnog asistenta koji se</w:t>
      </w:r>
      <w:r w:rsidRPr="00397EB5">
        <w:rPr>
          <w:rFonts w:cstheme="minorHAnsi"/>
        </w:rPr>
        <w:t xml:space="preserve"> financira iz projekta „Škole jednakih mogućnosti“ te 2 učiteljice zaposlene na poslovima produženog boravka učenika.</w:t>
      </w:r>
    </w:p>
    <w:p w14:paraId="24F297E2" w14:textId="12D32C02" w:rsidR="00AC113D" w:rsidRPr="00397EB5" w:rsidRDefault="00356196" w:rsidP="00CD68DB">
      <w:pPr>
        <w:pStyle w:val="Odlomakpopisa"/>
        <w:numPr>
          <w:ilvl w:val="0"/>
          <w:numId w:val="2"/>
        </w:numPr>
        <w:spacing w:after="0"/>
        <w:rPr>
          <w:rFonts w:cstheme="minorHAnsi"/>
        </w:rPr>
      </w:pPr>
      <w:r w:rsidRPr="00397EB5">
        <w:rPr>
          <w:rFonts w:cstheme="minorHAnsi"/>
        </w:rPr>
        <w:t>U nastavku navodimo</w:t>
      </w:r>
      <w:r w:rsidR="00AC113D" w:rsidRPr="00397EB5">
        <w:rPr>
          <w:rFonts w:cstheme="minorHAnsi"/>
        </w:rPr>
        <w:t xml:space="preserve"> </w:t>
      </w:r>
      <w:r w:rsidRPr="00397EB5">
        <w:rPr>
          <w:rFonts w:cstheme="minorHAnsi"/>
        </w:rPr>
        <w:t>utrošak</w:t>
      </w:r>
      <w:r w:rsidR="00AC113D" w:rsidRPr="00397EB5">
        <w:rPr>
          <w:rFonts w:cstheme="minorHAnsi"/>
        </w:rPr>
        <w:t xml:space="preserve"> financijskih sredstava po programima</w:t>
      </w:r>
      <w:r w:rsidR="000F388F" w:rsidRPr="00397EB5">
        <w:rPr>
          <w:rFonts w:cstheme="minorHAnsi"/>
        </w:rPr>
        <w:t xml:space="preserve"> u eurima</w:t>
      </w:r>
      <w:r w:rsidR="00AC113D" w:rsidRPr="00397EB5">
        <w:rPr>
          <w:rFonts w:cstheme="minorHAnsi"/>
        </w:rPr>
        <w:t>:</w:t>
      </w:r>
    </w:p>
    <w:tbl>
      <w:tblPr>
        <w:tblW w:w="10135" w:type="dxa"/>
        <w:tblInd w:w="93" w:type="dxa"/>
        <w:tblLook w:val="04A0" w:firstRow="1" w:lastRow="0" w:firstColumn="1" w:lastColumn="0" w:noHBand="0" w:noVBand="1"/>
      </w:tblPr>
      <w:tblGrid>
        <w:gridCol w:w="2850"/>
        <w:gridCol w:w="1280"/>
        <w:gridCol w:w="223"/>
        <w:gridCol w:w="1417"/>
        <w:gridCol w:w="1501"/>
        <w:gridCol w:w="1501"/>
        <w:gridCol w:w="1363"/>
      </w:tblGrid>
      <w:tr w:rsidR="004076A1" w:rsidRPr="00397EB5" w14:paraId="4DDF619A" w14:textId="77777777" w:rsidTr="00424CC3">
        <w:trPr>
          <w:trHeight w:val="5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D8D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Naziv programa iz Proračuna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EF168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Izvršenje</w:t>
            </w:r>
          </w:p>
          <w:p w14:paraId="063B8784" w14:textId="1A33020D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 xml:space="preserve">2022. 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7C8A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0F8" w14:textId="391389D8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Plan 2023.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3B4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Plan</w:t>
            </w:r>
          </w:p>
          <w:p w14:paraId="4C57A9E2" w14:textId="5BFAA139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2024.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8EE" w14:textId="018F2511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Projekcija 2025.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0688" w14:textId="33FE5C84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Projekcija 2026.</w:t>
            </w:r>
          </w:p>
        </w:tc>
      </w:tr>
      <w:tr w:rsidR="004076A1" w:rsidRPr="00397EB5" w14:paraId="239DEFA5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34C1" w14:textId="261BBB05" w:rsidR="004076A1" w:rsidRPr="00397EB5" w:rsidRDefault="004076A1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lang w:eastAsia="hr-HR"/>
              </w:rPr>
              <w:t>Program MZOŠ – plaće i naknade zaposlenima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9C0267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1F9343CC" w14:textId="3CBFD187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1.043.839,54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CB130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817E" w14:textId="1FCDB8DC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1.095.862,90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D26" w14:textId="6B0B8BEF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1.427.313,84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47F" w14:textId="0087B96A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1.576.508,35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DFFDF" w14:textId="5A30BC31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397E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1.707.475,93</w:t>
            </w:r>
          </w:p>
        </w:tc>
      </w:tr>
      <w:tr w:rsidR="004076A1" w:rsidRPr="00397EB5" w14:paraId="10E296B2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5A6A" w14:textId="33F5C134" w:rsidR="004076A1" w:rsidRPr="00397EB5" w:rsidRDefault="00397EB5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Prehrana učenika – proračun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E4386" w14:textId="7601B18B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1435A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DAA" w14:textId="6F585F76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46.941,79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806" w14:textId="59DA44AA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85.336,54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BFF" w14:textId="7191EE0A" w:rsidR="004076A1" w:rsidRPr="00397EB5" w:rsidRDefault="003C2E1A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87.743,36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029DC" w14:textId="0C171839" w:rsidR="004076A1" w:rsidRPr="00397EB5" w:rsidRDefault="004076A1" w:rsidP="003C2E1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397EB5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 </w:t>
            </w:r>
            <w:r w:rsidR="003C2E1A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89.774,36</w:t>
            </w:r>
          </w:p>
        </w:tc>
      </w:tr>
      <w:tr w:rsidR="004076A1" w:rsidRPr="00397EB5" w14:paraId="48B5507F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7D5B" w14:textId="30DAF99D" w:rsidR="004076A1" w:rsidRPr="00397EB5" w:rsidRDefault="00397EB5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ŽSV psihologa – proračun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9465C" w14:textId="5BA6B8F3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D063F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DB90" w14:textId="23AD2FF4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ECC12" w14:textId="41114E24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186,44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C78B" w14:textId="34FA2F80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3F2D30" w14:textId="1539C857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F56B6" w:rsidRPr="00397EB5" w14:paraId="5127FC5F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A6D7" w14:textId="078A474C" w:rsidR="004F56B6" w:rsidRDefault="004F56B6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Školski udžbenici – proračun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96A70" w14:textId="5EDDEE26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24.580,67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5067B" w14:textId="77777777" w:rsidR="004F56B6" w:rsidRP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67492" w14:textId="03060E59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27.480,80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07B6" w14:textId="14F6DAAD" w:rsidR="004F56B6" w:rsidRDefault="00424CC3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25.185,56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C8EE" w14:textId="5D2FD16C" w:rsidR="004F56B6" w:rsidRDefault="00424CC3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26.133,98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81706" w14:textId="0E820D61" w:rsidR="004F56B6" w:rsidRDefault="00424CC3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24.102,98</w:t>
            </w:r>
          </w:p>
        </w:tc>
      </w:tr>
      <w:tr w:rsidR="004076A1" w:rsidRPr="00397EB5" w14:paraId="353146A1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580A" w14:textId="22517340" w:rsidR="004076A1" w:rsidRPr="00397EB5" w:rsidRDefault="00397EB5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Školska shema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F4A94B" w14:textId="77777777" w:rsidR="004076A1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15E5B028" w14:textId="0B0F9544" w:rsidR="00397EB5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3B8C9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2749" w14:textId="32711348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7.543,57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0970" w14:textId="37123296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6.273,35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F983" w14:textId="3914993A" w:rsidR="004076A1" w:rsidRPr="00397EB5" w:rsidRDefault="0077497B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CD8AD" w14:textId="66470A67" w:rsidR="004076A1" w:rsidRPr="00397EB5" w:rsidRDefault="0077497B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4076A1" w:rsidRPr="00397EB5" w14:paraId="19AD73B7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FAB6" w14:textId="19231A09" w:rsidR="004076A1" w:rsidRPr="00397EB5" w:rsidRDefault="00397EB5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Decentralizirana sredstva – osnivač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A92E6" w14:textId="77777777" w:rsidR="004076A1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235A2082" w14:textId="14D27446" w:rsidR="00397EB5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69.021,49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DDC7D" w14:textId="77777777" w:rsidR="004076A1" w:rsidRPr="00397EB5" w:rsidRDefault="004076A1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FBDA" w14:textId="292713BF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72.170,95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84AD" w14:textId="75DA2DDC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76.918,15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E0AD" w14:textId="7D687B5E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82.734,42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C2D95" w14:textId="566092C9" w:rsidR="004076A1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82.728,08</w:t>
            </w:r>
          </w:p>
        </w:tc>
      </w:tr>
      <w:tr w:rsidR="00397EB5" w:rsidRPr="00397EB5" w14:paraId="5C10F388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F4877" w14:textId="77777777" w:rsidR="004F56B6" w:rsidRDefault="004F56B6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3962EA62" w14:textId="509EB1F3" w:rsidR="00397EB5" w:rsidRDefault="00397EB5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Produženi boravak učenika – sredstva roditelja i Općine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D9C6E" w14:textId="77777777" w:rsid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52070A0B" w14:textId="77777777" w:rsid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40F5693A" w14:textId="77777777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22C675CA" w14:textId="4B3FFB7A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84.399,72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18519" w14:textId="77777777" w:rsidR="00397EB5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EB31" w14:textId="515ACFB9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33.851,15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B236" w14:textId="5E60E221" w:rsid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53.936,99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7B63" w14:textId="54BEFB88" w:rsid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39.801,96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16088" w14:textId="328BCBCD" w:rsid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40.732,37</w:t>
            </w:r>
          </w:p>
        </w:tc>
      </w:tr>
      <w:tr w:rsidR="00397EB5" w:rsidRPr="00397EB5" w14:paraId="5E6F612F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2B94" w14:textId="77777777" w:rsidR="00397EB5" w:rsidRDefault="00397EB5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18939554" w14:textId="57669196" w:rsidR="00397EB5" w:rsidRDefault="00397EB5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Vlastiti prihodi Škole – školska dvorana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C0FD38" w14:textId="77777777" w:rsid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70D4836A" w14:textId="1CCDC028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7.426,02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C279C9" w14:textId="77777777" w:rsidR="00397EB5" w:rsidRPr="00397EB5" w:rsidRDefault="00397EB5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6ECA8" w14:textId="237A0791" w:rsid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    7.601,47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E4AA" w14:textId="1B810106" w:rsid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14.301,11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1C82" w14:textId="3F10F143" w:rsid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13.221,83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787D65" w14:textId="08046605" w:rsid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13.221,83</w:t>
            </w:r>
          </w:p>
        </w:tc>
      </w:tr>
      <w:tr w:rsidR="004F56B6" w:rsidRPr="00397EB5" w14:paraId="7FCB5974" w14:textId="77777777" w:rsidTr="00424CC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BE50" w14:textId="77777777" w:rsidR="004F56B6" w:rsidRDefault="004F56B6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5718DC27" w14:textId="18096657" w:rsidR="004F56B6" w:rsidRDefault="004F56B6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Škola jednakih mogućnosti</w:t>
            </w:r>
          </w:p>
          <w:p w14:paraId="7BD9A2E1" w14:textId="77777777" w:rsidR="004F56B6" w:rsidRDefault="004F56B6" w:rsidP="00424CC3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A7E229" w14:textId="77777777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  <w:p w14:paraId="674A940A" w14:textId="329C0E78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7.575,97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E2F9B" w14:textId="77777777" w:rsidR="004F56B6" w:rsidRPr="00397EB5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1D55" w14:textId="27E3E7B0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9.004,58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F6B" w14:textId="6D3C1976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9.223,73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2808" w14:textId="35A9AB7E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9.292,96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1A4C9" w14:textId="4924E2B4" w:rsidR="004F56B6" w:rsidRDefault="004F56B6" w:rsidP="00424CC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8.657,36</w:t>
            </w:r>
          </w:p>
        </w:tc>
      </w:tr>
    </w:tbl>
    <w:p w14:paraId="513A3D50" w14:textId="77777777" w:rsidR="00AC113D" w:rsidRPr="00397EB5" w:rsidRDefault="00AC113D" w:rsidP="003E2D5C">
      <w:pPr>
        <w:spacing w:after="0"/>
        <w:rPr>
          <w:rFonts w:cstheme="minorHAnsi"/>
        </w:rPr>
      </w:pPr>
    </w:p>
    <w:p w14:paraId="424F0B97" w14:textId="3D78A2FD" w:rsidR="000C6247" w:rsidRPr="00397EB5" w:rsidRDefault="008603FF" w:rsidP="00CD68DB">
      <w:pPr>
        <w:pStyle w:val="Odlomakpopisa"/>
        <w:numPr>
          <w:ilvl w:val="0"/>
          <w:numId w:val="1"/>
        </w:numPr>
        <w:spacing w:after="0"/>
        <w:rPr>
          <w:rFonts w:cstheme="minorHAnsi"/>
          <w:b/>
        </w:rPr>
      </w:pPr>
      <w:r w:rsidRPr="00397EB5">
        <w:rPr>
          <w:rFonts w:cstheme="minorHAnsi"/>
          <w:b/>
        </w:rPr>
        <w:t>OBRAZLOŽ</w:t>
      </w:r>
      <w:r w:rsidR="000C6247" w:rsidRPr="00397EB5">
        <w:rPr>
          <w:rFonts w:cstheme="minorHAnsi"/>
          <w:b/>
        </w:rPr>
        <w:t>ENJE PROGRAMA</w:t>
      </w:r>
    </w:p>
    <w:p w14:paraId="6E55FF38" w14:textId="77777777" w:rsidR="00356196" w:rsidRPr="00397EB5" w:rsidRDefault="00356196" w:rsidP="00356196">
      <w:pPr>
        <w:pStyle w:val="Odlomakpopisa"/>
        <w:spacing w:after="0"/>
        <w:rPr>
          <w:rFonts w:cstheme="minorHAnsi"/>
          <w:b/>
        </w:rPr>
      </w:pPr>
    </w:p>
    <w:p w14:paraId="0D5AAAEB" w14:textId="06B9A359" w:rsidR="00356196" w:rsidRPr="00397EB5" w:rsidRDefault="00356196" w:rsidP="0035619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397EB5">
        <w:rPr>
          <w:rFonts w:cstheme="minorHAnsi"/>
        </w:rPr>
        <w:t>Najveća stavka financijskog plana su sredstva za plaće djelatnika financirana iz državnog proračuna, odnosno Ministarstva znanosti i obrazovanja.</w:t>
      </w:r>
      <w:r w:rsidR="000B596A">
        <w:rPr>
          <w:rFonts w:cstheme="minorHAnsi"/>
        </w:rPr>
        <w:t xml:space="preserve"> Prehrana učenika je od početka ove godine financirana iz sredstava Državnog proračuna, i to u iznosu od 1,33 eura po obroku dnevno. </w:t>
      </w:r>
      <w:r w:rsidR="00E771F7">
        <w:rPr>
          <w:rFonts w:cstheme="minorHAnsi"/>
        </w:rPr>
        <w:t xml:space="preserve">Škola je domaćin Županijskog stručnog vijeća psihologa pa je u tu svrhu iz proračuna dobila sredstva za organizaciju istih. Školski udžbenici se također financiraju iz sredstava Državnog proračuna temeljem poslanih narudžbi za svaku školsku godinu. </w:t>
      </w:r>
    </w:p>
    <w:p w14:paraId="2E440C25" w14:textId="77777777" w:rsidR="00356196" w:rsidRPr="00397EB5" w:rsidRDefault="00356196" w:rsidP="00356196">
      <w:pPr>
        <w:pStyle w:val="Odlomakpopisa"/>
        <w:spacing w:after="0"/>
        <w:rPr>
          <w:rFonts w:cstheme="minorHAnsi"/>
          <w:b/>
        </w:rPr>
      </w:pPr>
    </w:p>
    <w:p w14:paraId="4975166D" w14:textId="63A41FF8" w:rsidR="00393E02" w:rsidRPr="00397EB5" w:rsidRDefault="00393E02" w:rsidP="00393E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7EB5">
        <w:rPr>
          <w:rFonts w:cstheme="minorHAnsi"/>
          <w:b/>
        </w:rPr>
        <w:t>Škola jednakih mogućnosti</w:t>
      </w:r>
      <w:r w:rsidRPr="00397EB5">
        <w:rPr>
          <w:rFonts w:cstheme="minorHAnsi"/>
        </w:rPr>
        <w:t xml:space="preserve"> -  financiranje plaća jednog osobnog asistenta u planiranom iznosu od iz sredstava EU fondova (90%) te sredstava Međimurske županije u iznosu od 10%.</w:t>
      </w:r>
      <w:r w:rsidR="00E771F7">
        <w:rPr>
          <w:rFonts w:cstheme="minorHAnsi"/>
        </w:rPr>
        <w:t xml:space="preserve"> Trenutno je u Školi zaposlen jedan osobni asistent.</w:t>
      </w:r>
    </w:p>
    <w:p w14:paraId="2BEA35D5" w14:textId="77777777" w:rsidR="00393E02" w:rsidRPr="00397EB5" w:rsidRDefault="00393E02" w:rsidP="00393E02">
      <w:pPr>
        <w:pStyle w:val="Odlomakpopisa"/>
        <w:ind w:left="1068"/>
        <w:jc w:val="both"/>
        <w:rPr>
          <w:rFonts w:cstheme="minorHAnsi"/>
        </w:rPr>
      </w:pPr>
    </w:p>
    <w:p w14:paraId="531FE4E0" w14:textId="50E1BCE4" w:rsidR="00393E02" w:rsidRDefault="00393E02" w:rsidP="00393E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97EB5">
        <w:rPr>
          <w:rFonts w:cstheme="minorHAnsi"/>
          <w:b/>
        </w:rPr>
        <w:t>Produženi boravak učenika razredne nastave</w:t>
      </w:r>
      <w:r w:rsidRPr="00397EB5">
        <w:rPr>
          <w:rFonts w:cstheme="minorHAnsi"/>
        </w:rPr>
        <w:t xml:space="preserve"> – 50% cijene pokrivaju roditelji, a 50% Općina Sveti Juraj na </w:t>
      </w:r>
      <w:proofErr w:type="spellStart"/>
      <w:r w:rsidRPr="00397EB5">
        <w:rPr>
          <w:rFonts w:cstheme="minorHAnsi"/>
        </w:rPr>
        <w:t>Bregu</w:t>
      </w:r>
      <w:proofErr w:type="spellEnd"/>
      <w:r w:rsidRPr="00397EB5">
        <w:rPr>
          <w:rFonts w:cstheme="minorHAnsi"/>
        </w:rPr>
        <w:t xml:space="preserve">. Iz tog se iznosa financiraju plaće djelatnica te namirnice i ostali materijal za prehranu i provođenje nastave. Trenutno u školi ovaj program pohađa 42 učenika.  </w:t>
      </w:r>
      <w:r w:rsidR="00E771F7">
        <w:rPr>
          <w:rFonts w:cstheme="minorHAnsi"/>
        </w:rPr>
        <w:t xml:space="preserve">Za dvoje učenika, pripadnika Romske nacionalne manjine, 50 posto sredstava za tu svrhu osigurava Ministarstvo nacionalnih manjina, dok drugu polovicu plaća Općina Sveti Juraj na </w:t>
      </w:r>
      <w:proofErr w:type="spellStart"/>
      <w:r w:rsidR="00E771F7">
        <w:rPr>
          <w:rFonts w:cstheme="minorHAnsi"/>
        </w:rPr>
        <w:t>Bregu</w:t>
      </w:r>
      <w:proofErr w:type="spellEnd"/>
      <w:r w:rsidR="00E771F7">
        <w:rPr>
          <w:rFonts w:cstheme="minorHAnsi"/>
        </w:rPr>
        <w:t xml:space="preserve">. Iz dobivenih sredstava, osigurava se i nefinancijska imovina za potrebe produženog boravka. </w:t>
      </w:r>
      <w:r w:rsidR="002E29D2">
        <w:rPr>
          <w:rFonts w:cstheme="minorHAnsi"/>
        </w:rPr>
        <w:t xml:space="preserve">Iz sredstava se također financiraju plaće djelatnica temeljem Ugovora o radu. </w:t>
      </w:r>
      <w:r w:rsidR="00E771F7">
        <w:rPr>
          <w:rFonts w:cstheme="minorHAnsi"/>
        </w:rPr>
        <w:t xml:space="preserve">Temelj </w:t>
      </w:r>
      <w:r w:rsidR="00E771F7">
        <w:rPr>
          <w:rFonts w:cstheme="minorHAnsi"/>
        </w:rPr>
        <w:lastRenderedPageBreak/>
        <w:t xml:space="preserve">ovog programa je potpisani Sporazum s Općinom i Ugovori o organizaciji produženog boravka kojeg potpisuju roditelji, odnosno skrbnici učenika. </w:t>
      </w:r>
    </w:p>
    <w:p w14:paraId="5347CE62" w14:textId="77777777" w:rsidR="00E771F7" w:rsidRPr="00E771F7" w:rsidRDefault="00E771F7" w:rsidP="00E771F7">
      <w:pPr>
        <w:pStyle w:val="Odlomakpopisa"/>
        <w:rPr>
          <w:rFonts w:cstheme="minorHAnsi"/>
        </w:rPr>
      </w:pPr>
    </w:p>
    <w:p w14:paraId="3E5EBB64" w14:textId="63E5E5B7" w:rsidR="00E771F7" w:rsidRPr="00397EB5" w:rsidRDefault="00E771F7" w:rsidP="00393E0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Vlastiti prihodi škole su većim dijelom prihodi od najma školske dvorane. Školska se dvorana u večernjim satima i kada nema organizirane nastave, iznajmljuje vanjskim korisnicima po cijeni koja je definirana od strane osnivača. U manjoj mjeri, vlastite prihode čine i akcije skupljanja starog papira. Iz prikupljenih sredstava financiraju se ulaganja u potrebnu opremu Škole te redovno održavanje dvorane. </w:t>
      </w:r>
    </w:p>
    <w:p w14:paraId="099C3D92" w14:textId="77777777" w:rsidR="00393E02" w:rsidRPr="00397EB5" w:rsidRDefault="00393E02" w:rsidP="00393E02">
      <w:pPr>
        <w:jc w:val="both"/>
        <w:rPr>
          <w:rFonts w:cstheme="minorHAnsi"/>
        </w:rPr>
      </w:pPr>
    </w:p>
    <w:p w14:paraId="11BFE79F" w14:textId="5909C66D" w:rsidR="00C21BB3" w:rsidRDefault="00C21BB3" w:rsidP="00C21BB3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Napomena: Ako se usvojeni financijski plan ne razlikuje od prijedloga financijskog plana, Školski   odbor ne mora ponovno usvajati financijski plan već prijedlog automatizmom postaje financijski plan.</w:t>
      </w:r>
    </w:p>
    <w:p w14:paraId="55DDA55A" w14:textId="77777777" w:rsidR="00356196" w:rsidRPr="00397EB5" w:rsidRDefault="00356196" w:rsidP="00356196">
      <w:pPr>
        <w:pStyle w:val="Odlomakpopisa"/>
        <w:rPr>
          <w:rFonts w:cstheme="minorHAnsi"/>
        </w:rPr>
      </w:pPr>
    </w:p>
    <w:p w14:paraId="5E2961D8" w14:textId="504E2373" w:rsidR="00393E02" w:rsidRPr="00397EB5" w:rsidRDefault="00F50658" w:rsidP="00393E02">
      <w:pPr>
        <w:ind w:firstLine="708"/>
        <w:jc w:val="both"/>
        <w:rPr>
          <w:rFonts w:cstheme="minorHAnsi"/>
        </w:rPr>
      </w:pPr>
      <w:r w:rsidRPr="00397EB5">
        <w:rPr>
          <w:rFonts w:cstheme="minorHAnsi"/>
        </w:rPr>
        <w:t xml:space="preserve">U </w:t>
      </w:r>
      <w:proofErr w:type="spellStart"/>
      <w:r w:rsidRPr="00397EB5">
        <w:rPr>
          <w:rFonts w:cstheme="minorHAnsi"/>
        </w:rPr>
        <w:t>Pleškovcu</w:t>
      </w:r>
      <w:proofErr w:type="spellEnd"/>
      <w:r w:rsidRPr="00397EB5">
        <w:rPr>
          <w:rFonts w:cstheme="minorHAnsi"/>
        </w:rPr>
        <w:t>, 20. listopada 2023</w:t>
      </w:r>
      <w:r w:rsidR="00356196" w:rsidRPr="00397EB5">
        <w:rPr>
          <w:rFonts w:cstheme="minorHAnsi"/>
        </w:rPr>
        <w:t>.</w:t>
      </w:r>
    </w:p>
    <w:p w14:paraId="5811A52A" w14:textId="37FA339F" w:rsidR="008603FF" w:rsidRPr="00397EB5" w:rsidRDefault="00393E02" w:rsidP="008603FF">
      <w:pPr>
        <w:ind w:firstLine="708"/>
        <w:jc w:val="center"/>
        <w:rPr>
          <w:rFonts w:cstheme="minorHAnsi"/>
        </w:rPr>
      </w:pP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  <w:t>Ravnatelj Škole:</w:t>
      </w:r>
    </w:p>
    <w:p w14:paraId="20FA8908" w14:textId="71DA7C11" w:rsidR="00393E02" w:rsidRPr="00397EB5" w:rsidRDefault="008603FF" w:rsidP="008603FF">
      <w:pPr>
        <w:ind w:firstLine="708"/>
        <w:jc w:val="center"/>
        <w:rPr>
          <w:rFonts w:cstheme="minorHAnsi"/>
        </w:rPr>
      </w:pPr>
      <w:bookmarkStart w:id="0" w:name="_GoBack"/>
      <w:bookmarkEnd w:id="0"/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Pr="00397EB5">
        <w:rPr>
          <w:rFonts w:cstheme="minorHAnsi"/>
        </w:rPr>
        <w:tab/>
      </w:r>
      <w:r w:rsidR="00393E02" w:rsidRPr="00397EB5">
        <w:rPr>
          <w:rFonts w:cstheme="minorHAnsi"/>
        </w:rPr>
        <w:tab/>
        <w:t xml:space="preserve">Mladen </w:t>
      </w:r>
      <w:proofErr w:type="spellStart"/>
      <w:r w:rsidR="00393E02" w:rsidRPr="00397EB5">
        <w:rPr>
          <w:rFonts w:cstheme="minorHAnsi"/>
        </w:rPr>
        <w:t>Beuk</w:t>
      </w:r>
      <w:proofErr w:type="spellEnd"/>
      <w:r w:rsidR="00393E02" w:rsidRPr="00397EB5">
        <w:rPr>
          <w:rFonts w:cstheme="minorHAnsi"/>
        </w:rPr>
        <w:t xml:space="preserve">, dipl. ing. </w:t>
      </w:r>
    </w:p>
    <w:sectPr w:rsidR="00393E02" w:rsidRPr="00397EB5" w:rsidSect="00860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EFB6" w14:textId="77777777" w:rsidR="005B367B" w:rsidRDefault="005B367B" w:rsidP="00277E5E">
      <w:pPr>
        <w:spacing w:after="0" w:line="240" w:lineRule="auto"/>
      </w:pPr>
      <w:r>
        <w:separator/>
      </w:r>
    </w:p>
  </w:endnote>
  <w:endnote w:type="continuationSeparator" w:id="0">
    <w:p w14:paraId="6212BD39" w14:textId="77777777" w:rsidR="005B367B" w:rsidRDefault="005B367B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B898" w14:textId="77777777" w:rsidR="0008459A" w:rsidRDefault="0008459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B235" w14:textId="77777777" w:rsidR="0008459A" w:rsidRDefault="0008459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E7618" w14:textId="77777777" w:rsidR="0008459A" w:rsidRDefault="000845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BD5BD" w14:textId="77777777" w:rsidR="005B367B" w:rsidRDefault="005B367B" w:rsidP="00277E5E">
      <w:pPr>
        <w:spacing w:after="0" w:line="240" w:lineRule="auto"/>
      </w:pPr>
      <w:r>
        <w:separator/>
      </w:r>
    </w:p>
  </w:footnote>
  <w:footnote w:type="continuationSeparator" w:id="0">
    <w:p w14:paraId="31B0D8C9" w14:textId="77777777" w:rsidR="005B367B" w:rsidRDefault="005B367B" w:rsidP="0027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09AF" w14:textId="77777777" w:rsidR="0008459A" w:rsidRDefault="0008459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F1986" w14:textId="675599B8" w:rsidR="00277E5E" w:rsidRDefault="0008459A" w:rsidP="00277E5E">
    <w:pPr>
      <w:pStyle w:val="Zaglavlje"/>
      <w:jc w:val="right"/>
    </w:pPr>
    <w:r>
      <w:t>Obrazloženje</w:t>
    </w:r>
    <w:r w:rsidR="00876D4C">
      <w:t>-</w:t>
    </w:r>
    <w:proofErr w:type="spellStart"/>
    <w:r w:rsidR="00876D4C">
      <w:t>pror.korisnik</w:t>
    </w:r>
    <w:proofErr w:type="spellEnd"/>
  </w:p>
  <w:p w14:paraId="6072F50E" w14:textId="77777777" w:rsidR="00277E5E" w:rsidRDefault="00277E5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59DC7" w14:textId="77777777" w:rsidR="0008459A" w:rsidRDefault="0008459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486A"/>
    <w:multiLevelType w:val="hybridMultilevel"/>
    <w:tmpl w:val="7346C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74114"/>
    <w:multiLevelType w:val="hybridMultilevel"/>
    <w:tmpl w:val="39723310"/>
    <w:lvl w:ilvl="0" w:tplc="1B003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C"/>
    <w:rsid w:val="00005846"/>
    <w:rsid w:val="00081C3D"/>
    <w:rsid w:val="0008459A"/>
    <w:rsid w:val="00086E31"/>
    <w:rsid w:val="000B4AFB"/>
    <w:rsid w:val="000B596A"/>
    <w:rsid w:val="000C6247"/>
    <w:rsid w:val="000F388F"/>
    <w:rsid w:val="001171CD"/>
    <w:rsid w:val="001A3861"/>
    <w:rsid w:val="0021208D"/>
    <w:rsid w:val="00224DD9"/>
    <w:rsid w:val="00277E5E"/>
    <w:rsid w:val="002908D9"/>
    <w:rsid w:val="00294F36"/>
    <w:rsid w:val="002E29D2"/>
    <w:rsid w:val="002F7429"/>
    <w:rsid w:val="00321C76"/>
    <w:rsid w:val="00356196"/>
    <w:rsid w:val="00372035"/>
    <w:rsid w:val="00393E02"/>
    <w:rsid w:val="00397EB5"/>
    <w:rsid w:val="003B6516"/>
    <w:rsid w:val="003C2E1A"/>
    <w:rsid w:val="003C46AB"/>
    <w:rsid w:val="003D3D05"/>
    <w:rsid w:val="003E2D5C"/>
    <w:rsid w:val="003E501E"/>
    <w:rsid w:val="003E77C2"/>
    <w:rsid w:val="003F160D"/>
    <w:rsid w:val="003F6177"/>
    <w:rsid w:val="004076A1"/>
    <w:rsid w:val="00424CC3"/>
    <w:rsid w:val="00434AAF"/>
    <w:rsid w:val="004565B3"/>
    <w:rsid w:val="00465C22"/>
    <w:rsid w:val="00465DE4"/>
    <w:rsid w:val="004D7E2D"/>
    <w:rsid w:val="004F56B6"/>
    <w:rsid w:val="005658FA"/>
    <w:rsid w:val="0056597A"/>
    <w:rsid w:val="005B01AB"/>
    <w:rsid w:val="005B367B"/>
    <w:rsid w:val="005C3BC3"/>
    <w:rsid w:val="005E3EFB"/>
    <w:rsid w:val="00613650"/>
    <w:rsid w:val="0062335B"/>
    <w:rsid w:val="00625B4E"/>
    <w:rsid w:val="00655AFD"/>
    <w:rsid w:val="00660E7B"/>
    <w:rsid w:val="00667E4F"/>
    <w:rsid w:val="00675513"/>
    <w:rsid w:val="006B5CCE"/>
    <w:rsid w:val="0077497B"/>
    <w:rsid w:val="00785007"/>
    <w:rsid w:val="00791821"/>
    <w:rsid w:val="007A07AC"/>
    <w:rsid w:val="007B112B"/>
    <w:rsid w:val="007F6BE2"/>
    <w:rsid w:val="0085376A"/>
    <w:rsid w:val="008603FF"/>
    <w:rsid w:val="00876D4C"/>
    <w:rsid w:val="00881EB2"/>
    <w:rsid w:val="0094009E"/>
    <w:rsid w:val="0094090A"/>
    <w:rsid w:val="0097531E"/>
    <w:rsid w:val="009E7DDE"/>
    <w:rsid w:val="009F33B8"/>
    <w:rsid w:val="009F36BF"/>
    <w:rsid w:val="00A0673E"/>
    <w:rsid w:val="00A12D2E"/>
    <w:rsid w:val="00A445E2"/>
    <w:rsid w:val="00A4709C"/>
    <w:rsid w:val="00A647F9"/>
    <w:rsid w:val="00A83F80"/>
    <w:rsid w:val="00A8606D"/>
    <w:rsid w:val="00AC113D"/>
    <w:rsid w:val="00B02815"/>
    <w:rsid w:val="00B278F4"/>
    <w:rsid w:val="00BB12DE"/>
    <w:rsid w:val="00BC55FD"/>
    <w:rsid w:val="00C04FB1"/>
    <w:rsid w:val="00C21BB3"/>
    <w:rsid w:val="00CA25A8"/>
    <w:rsid w:val="00CB11B4"/>
    <w:rsid w:val="00CD68DB"/>
    <w:rsid w:val="00D738A5"/>
    <w:rsid w:val="00DA487B"/>
    <w:rsid w:val="00DA4A06"/>
    <w:rsid w:val="00DC3656"/>
    <w:rsid w:val="00DC69A2"/>
    <w:rsid w:val="00E771F7"/>
    <w:rsid w:val="00E813E7"/>
    <w:rsid w:val="00EC71DC"/>
    <w:rsid w:val="00F03268"/>
    <w:rsid w:val="00F13CE6"/>
    <w:rsid w:val="00F50658"/>
    <w:rsid w:val="00F72F50"/>
    <w:rsid w:val="00F90D0D"/>
    <w:rsid w:val="00F9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5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9E06-628E-464B-8484-AD83B2AE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Korisnik</cp:lastModifiedBy>
  <cp:revision>6</cp:revision>
  <cp:lastPrinted>2023-10-20T10:54:00Z</cp:lastPrinted>
  <dcterms:created xsi:type="dcterms:W3CDTF">2023-10-20T10:13:00Z</dcterms:created>
  <dcterms:modified xsi:type="dcterms:W3CDTF">2023-10-26T10:23:00Z</dcterms:modified>
</cp:coreProperties>
</file>